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ReSmeta — Интеграции</w:t>
      </w:r>
    </w:p>
    <w:p>
      <w:r>
        <w:t xml:space="preserve">1С, банки, CRM и Telegram</w:t>
      </w:r>
    </w:p>
    <w:p/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/>
  </w:docDefaults>
  <w:style w:type="paragraph" w:default="1" w:styleId="Normal">
    <w:name w:val="Normal"/>
  </w:style>
  <w:style w:type="paragraph" w:styleId="Title">
    <w:name w:val="Title"/>
    <w:pPr>
      <w:spacing w:before="240" w:after="240"/>
    </w:pPr>
    <w:rPr>
      <w:b/>
      <w:sz w:val="40"/>
    </w:rPr>
  </w:style>
  <w:style w:type="paragraph" w:styleId="Heading1">
    <w:name w:val="heading 1"/>
    <w:pPr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